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21" w:rsidRDefault="004C33AD" w:rsidP="00FF04B9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PORTARIA</w:t>
      </w:r>
      <w:proofErr w:type="gramStart"/>
      <w:r w:rsidR="007621A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</w:t>
      </w:r>
      <w:proofErr w:type="gramEnd"/>
      <w:r>
        <w:rPr>
          <w:rFonts w:ascii="Calibri" w:hAnsi="Calibri"/>
          <w:b/>
        </w:rPr>
        <w:t>Nº</w:t>
      </w:r>
      <w:r w:rsidR="007621A9">
        <w:rPr>
          <w:rFonts w:ascii="Calibri" w:hAnsi="Calibri"/>
          <w:b/>
        </w:rPr>
        <w:t xml:space="preserve">   712</w:t>
      </w:r>
      <w:r>
        <w:rPr>
          <w:rFonts w:ascii="Calibri" w:hAnsi="Calibri"/>
          <w:b/>
        </w:rPr>
        <w:t>,</w:t>
      </w:r>
      <w:r w:rsidR="007621A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DE</w:t>
      </w:r>
      <w:r w:rsidR="007621A9">
        <w:rPr>
          <w:rFonts w:ascii="Calibri" w:hAnsi="Calibri"/>
          <w:b/>
        </w:rPr>
        <w:t xml:space="preserve">   11 </w:t>
      </w:r>
      <w:r>
        <w:rPr>
          <w:rFonts w:ascii="Calibri" w:hAnsi="Calibri"/>
          <w:b/>
        </w:rPr>
        <w:t xml:space="preserve">  DE</w:t>
      </w:r>
      <w:r w:rsidR="007621A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</w:t>
      </w:r>
      <w:r w:rsidR="007621A9">
        <w:rPr>
          <w:rFonts w:ascii="Calibri" w:hAnsi="Calibri"/>
          <w:b/>
        </w:rPr>
        <w:t xml:space="preserve">NOVEMBRO  </w:t>
      </w:r>
      <w:r>
        <w:rPr>
          <w:rFonts w:ascii="Calibri" w:hAnsi="Calibri"/>
          <w:b/>
        </w:rPr>
        <w:t xml:space="preserve"> DE</w:t>
      </w:r>
      <w:r w:rsidR="007621A9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2019</w:t>
      </w:r>
    </w:p>
    <w:p w:rsidR="00C15C21" w:rsidRDefault="00FF04B9" w:rsidP="00FF04B9">
      <w:pPr>
        <w:spacing w:after="120"/>
        <w:jc w:val="both"/>
        <w:rPr>
          <w:rFonts w:ascii="Calibri" w:hAnsi="Calibri"/>
          <w:b/>
        </w:rPr>
      </w:pPr>
      <w:r w:rsidRPr="00FF04B9">
        <w:rPr>
          <w:rFonts w:ascii="Calibri" w:hAnsi="Calibri"/>
          <w:color w:val="FF0000"/>
          <w:sz w:val="20"/>
          <w:szCs w:val="20"/>
        </w:rPr>
        <w:t>. Publicada no DOE nº 12.678, de 12 de novembro de 2019</w:t>
      </w:r>
    </w:p>
    <w:p w:rsidR="00C15C21" w:rsidRDefault="004C33AD" w:rsidP="00FF04B9">
      <w:pPr>
        <w:spacing w:after="120"/>
        <w:ind w:left="510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/>
          <w:color w:val="000000"/>
        </w:rPr>
        <w:t xml:space="preserve">Institui o modelo padrão de Auto de Infração, lavrado </w:t>
      </w:r>
      <w:r>
        <w:rPr>
          <w:rFonts w:ascii="Calibri" w:eastAsia="Calibri" w:hAnsi="Calibri" w:cs="Calibri"/>
          <w:color w:val="000000"/>
        </w:rPr>
        <w:t xml:space="preserve">por descumprimento de obrigação principal ou acessória referente ao Imposto sobre a Transmissão </w:t>
      </w:r>
      <w:r>
        <w:rPr>
          <w:rFonts w:ascii="Calibri" w:eastAsia="Calibri" w:hAnsi="Calibri" w:cs="Calibri"/>
          <w:b/>
          <w:color w:val="000000"/>
        </w:rPr>
        <w:t xml:space="preserve">Causa </w:t>
      </w:r>
      <w:proofErr w:type="spellStart"/>
      <w:r>
        <w:rPr>
          <w:rFonts w:ascii="Calibri" w:eastAsia="Calibri" w:hAnsi="Calibri" w:cs="Calibri"/>
          <w:b/>
          <w:color w:val="000000"/>
        </w:rPr>
        <w:t>Mortis</w:t>
      </w:r>
      <w:proofErr w:type="spellEnd"/>
      <w:r>
        <w:rPr>
          <w:rFonts w:ascii="Calibri" w:eastAsia="Calibri" w:hAnsi="Calibri" w:cs="Calibri"/>
          <w:color w:val="000000"/>
        </w:rPr>
        <w:t xml:space="preserve"> e Doação, de Quaisquer Bens ou Direitos - ITCMD.</w:t>
      </w:r>
    </w:p>
    <w:p w:rsidR="00FF04B9" w:rsidRDefault="00FF04B9" w:rsidP="00FF04B9">
      <w:pPr>
        <w:spacing w:after="120"/>
        <w:ind w:firstLine="1425"/>
        <w:jc w:val="both"/>
        <w:rPr>
          <w:rFonts w:ascii="Calibri" w:eastAsia="Calibri" w:hAnsi="Calibri" w:cs="Calibri"/>
          <w:color w:val="000000"/>
        </w:rPr>
      </w:pPr>
      <w:r w:rsidRPr="007621A9">
        <w:rPr>
          <w:rFonts w:ascii="Calibri" w:eastAsia="Times New Roman" w:hAnsi="Calibri" w:cs="Calibri"/>
          <w:b/>
          <w:color w:val="000000"/>
          <w:lang w:eastAsia="en-US" w:bidi="ar-SA"/>
        </w:rPr>
        <w:t>A SECRETÁRIA DE ESTADO DA FAZENDA</w:t>
      </w:r>
      <w:r w:rsidRPr="007621A9">
        <w:rPr>
          <w:rFonts w:ascii="Calibri" w:eastAsia="Times New Roman" w:hAnsi="Calibri" w:cs="Calibri"/>
          <w:color w:val="000000"/>
          <w:lang w:eastAsia="en-US" w:bidi="ar-SA"/>
        </w:rPr>
        <w:t xml:space="preserve">, em exercício, no uso de suas atribuições constitucionais e legais que lhe confere o Decreto nº 4.628 de 07 de novembro de 2019, publicado no Diário Oficial nº 12.677, de 11 de novembro de 2019; </w:t>
      </w:r>
    </w:p>
    <w:p w:rsidR="00C15C21" w:rsidRDefault="004C33AD" w:rsidP="00FF04B9">
      <w:pPr>
        <w:spacing w:after="120"/>
        <w:ind w:firstLine="1425"/>
        <w:jc w:val="both"/>
        <w:rPr>
          <w:rFonts w:ascii="Calibri" w:eastAsia="Calibri" w:hAnsi="Calibri" w:cs="Calibri"/>
          <w:color w:val="000000"/>
          <w:lang w:eastAsia="pt-BR"/>
        </w:rPr>
      </w:pPr>
      <w:r>
        <w:rPr>
          <w:rFonts w:ascii="Calibri" w:eastAsia="Calibri" w:hAnsi="Calibri" w:cs="Calibri"/>
          <w:color w:val="000000"/>
          <w:lang w:eastAsia="pt-BR"/>
        </w:rPr>
        <w:t xml:space="preserve">Considerando o art. 65, II, do Decreto nº 183, de </w:t>
      </w:r>
      <w:proofErr w:type="gramStart"/>
      <w:r>
        <w:rPr>
          <w:rFonts w:ascii="Calibri" w:eastAsia="Calibri" w:hAnsi="Calibri" w:cs="Calibri"/>
          <w:color w:val="000000"/>
          <w:lang w:eastAsia="pt-BR"/>
        </w:rPr>
        <w:t>6</w:t>
      </w:r>
      <w:proofErr w:type="gramEnd"/>
      <w:r>
        <w:rPr>
          <w:rFonts w:ascii="Calibri" w:eastAsia="Calibri" w:hAnsi="Calibri" w:cs="Calibri"/>
          <w:color w:val="000000"/>
          <w:lang w:eastAsia="pt-BR"/>
        </w:rPr>
        <w:t xml:space="preserve"> de outubro de 1975, que aprovou o Regimento Interno da Secretaria de Estado da Fazenda;</w:t>
      </w:r>
    </w:p>
    <w:p w:rsidR="00C15C21" w:rsidRDefault="004C33AD" w:rsidP="00FF04B9">
      <w:pPr>
        <w:spacing w:after="120"/>
        <w:ind w:right="-705"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RESOLVE: </w:t>
      </w:r>
    </w:p>
    <w:p w:rsidR="00C15C21" w:rsidRDefault="004C33AD" w:rsidP="00FF04B9">
      <w:pPr>
        <w:spacing w:after="120"/>
        <w:ind w:firstLine="141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Art. 1º Instituir o modelo padrão de Auto de Infração, lavrado por descumprimento de obrigação principal ou acessória referente ao Imposto sobre a Transmissão </w:t>
      </w:r>
      <w:r>
        <w:rPr>
          <w:rFonts w:ascii="Calibri" w:eastAsia="Calibri" w:hAnsi="Calibri" w:cs="Calibri"/>
          <w:b/>
          <w:color w:val="000000"/>
        </w:rPr>
        <w:t xml:space="preserve">Causa </w:t>
      </w:r>
      <w:proofErr w:type="spellStart"/>
      <w:r>
        <w:rPr>
          <w:rFonts w:ascii="Calibri" w:eastAsia="Calibri" w:hAnsi="Calibri" w:cs="Calibri"/>
          <w:b/>
          <w:color w:val="000000"/>
        </w:rPr>
        <w:t>Mortis</w:t>
      </w:r>
      <w:proofErr w:type="spellEnd"/>
      <w:r>
        <w:rPr>
          <w:rFonts w:ascii="Calibri" w:eastAsia="Calibri" w:hAnsi="Calibri" w:cs="Calibri"/>
          <w:color w:val="000000"/>
        </w:rPr>
        <w:t xml:space="preserve"> e Doação, de Quaisquer Bens ou Direitos - ITCMD.</w:t>
      </w:r>
    </w:p>
    <w:p w:rsidR="00C15C21" w:rsidRDefault="004C33AD" w:rsidP="00FF04B9">
      <w:pPr>
        <w:spacing w:after="120"/>
        <w:ind w:firstLine="14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Art. 2º </w:t>
      </w:r>
      <w:r>
        <w:rPr>
          <w:rFonts w:ascii="Calibri" w:eastAsia="Calibri" w:hAnsi="Calibri" w:cs="Calibri"/>
          <w:lang w:bidi="en-US"/>
        </w:rPr>
        <w:t>O Auto de Infração</w:t>
      </w:r>
      <w:r w:rsidR="00491A78">
        <w:rPr>
          <w:rFonts w:ascii="Calibri" w:eastAsia="Calibri" w:hAnsi="Calibri" w:cs="Calibri"/>
          <w:lang w:bidi="en-US"/>
        </w:rPr>
        <w:t xml:space="preserve"> </w:t>
      </w:r>
      <w:r>
        <w:rPr>
          <w:rFonts w:ascii="Calibri" w:eastAsia="Calibri" w:hAnsi="Calibri" w:cs="Calibri"/>
          <w:lang w:bidi="en-US"/>
        </w:rPr>
        <w:t>será lavrado eletrônica</w:t>
      </w:r>
      <w:r w:rsidR="0063396C">
        <w:rPr>
          <w:rFonts w:ascii="Calibri" w:eastAsia="Calibri" w:hAnsi="Calibri" w:cs="Calibri"/>
          <w:lang w:bidi="en-US"/>
        </w:rPr>
        <w:t xml:space="preserve"> </w:t>
      </w:r>
      <w:r>
        <w:rPr>
          <w:rFonts w:ascii="Calibri" w:eastAsia="Calibri" w:hAnsi="Calibri" w:cs="Calibri"/>
          <w:lang w:bidi="en-US"/>
        </w:rPr>
        <w:t>ou manualmente, conforme modelo padrão estabelecido no Anexo Único desta Portaria, obedecido ao disposto na legislação tributária estadual.</w:t>
      </w:r>
    </w:p>
    <w:p w:rsidR="00C15C21" w:rsidRDefault="004C33AD" w:rsidP="00FF04B9">
      <w:pPr>
        <w:spacing w:after="120"/>
        <w:ind w:firstLine="1418"/>
        <w:jc w:val="both"/>
        <w:rPr>
          <w:rFonts w:hint="eastAsia"/>
        </w:rPr>
      </w:pPr>
      <w:r>
        <w:rPr>
          <w:rFonts w:ascii="Calibri" w:eastAsia="Calibri" w:hAnsi="Calibri" w:cs="Calibri"/>
          <w:lang w:bidi="en-US"/>
        </w:rPr>
        <w:t xml:space="preserve">Art. 3º </w:t>
      </w:r>
      <w:r>
        <w:rPr>
          <w:rFonts w:ascii="Calibri" w:eastAsia="Calibri" w:hAnsi="Calibri"/>
          <w:color w:val="000000"/>
        </w:rPr>
        <w:t>Esta Portaria entra em vigor na data de sua publicação.</w:t>
      </w:r>
    </w:p>
    <w:p w:rsidR="00C15C21" w:rsidRDefault="004C33AD" w:rsidP="00FF04B9">
      <w:pPr>
        <w:spacing w:after="120"/>
        <w:ind w:firstLine="14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Rio Branco, de outubro de 2019.</w:t>
      </w:r>
    </w:p>
    <w:p w:rsidR="00C15C21" w:rsidRDefault="00C15C21" w:rsidP="00FF04B9">
      <w:pPr>
        <w:spacing w:after="120"/>
        <w:ind w:firstLine="1417"/>
        <w:rPr>
          <w:rFonts w:ascii="Calibri" w:eastAsia="Calibri" w:hAnsi="Calibri" w:cs="Calibri"/>
        </w:rPr>
      </w:pPr>
    </w:p>
    <w:p w:rsidR="00C15C21" w:rsidRDefault="00C15C21">
      <w:pPr>
        <w:ind w:firstLine="1417"/>
        <w:rPr>
          <w:rFonts w:ascii="Calibri" w:eastAsia="Calibri" w:hAnsi="Calibri" w:cs="Calibri"/>
        </w:rPr>
      </w:pPr>
    </w:p>
    <w:p w:rsidR="00C15C21" w:rsidRDefault="00C15C21">
      <w:pPr>
        <w:ind w:firstLine="1417"/>
        <w:rPr>
          <w:rFonts w:ascii="Calibri" w:eastAsia="Calibri" w:hAnsi="Calibri" w:cs="Calibri"/>
        </w:rPr>
      </w:pPr>
    </w:p>
    <w:p w:rsidR="00C15C21" w:rsidRDefault="00FF04B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Wanessa Brandão Silva</w:t>
      </w:r>
    </w:p>
    <w:p w:rsidR="00C15C21" w:rsidRDefault="004C33A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Secretária de Estado da Fazenda</w:t>
      </w:r>
      <w:r w:rsidR="00FF04B9">
        <w:rPr>
          <w:rFonts w:ascii="Calibri" w:eastAsia="Calibri" w:hAnsi="Calibri" w:cs="Calibri"/>
          <w:bCs/>
        </w:rPr>
        <w:t>, em exercício</w:t>
      </w:r>
    </w:p>
    <w:p w:rsidR="00C15C21" w:rsidRDefault="00FF04B9" w:rsidP="00FF04B9">
      <w:pPr>
        <w:spacing w:line="17" w:lineRule="atLeast"/>
        <w:jc w:val="center"/>
        <w:rPr>
          <w:rFonts w:ascii="Calibri" w:eastAsia="Times New Roman" w:hAnsi="Calibri" w:cs="Calibri"/>
          <w:color w:val="000000"/>
          <w:lang w:eastAsia="en-US" w:bidi="ar-SA"/>
        </w:rPr>
      </w:pPr>
      <w:r w:rsidRPr="00FF04B9">
        <w:rPr>
          <w:rFonts w:ascii="Calibri" w:eastAsia="Times New Roman" w:hAnsi="Calibri" w:cs="Calibri"/>
          <w:color w:val="000000"/>
          <w:lang w:eastAsia="en-US" w:bidi="ar-SA"/>
        </w:rPr>
        <w:t>Decreto nº 4.628/2019</w:t>
      </w:r>
    </w:p>
    <w:p w:rsidR="00FF04B9" w:rsidRDefault="00FF04B9" w:rsidP="00FF04B9">
      <w:pPr>
        <w:spacing w:line="17" w:lineRule="atLeast"/>
        <w:jc w:val="center"/>
        <w:rPr>
          <w:rFonts w:ascii="Calibri" w:eastAsia="Times New Roman" w:hAnsi="Calibri" w:cs="Calibri"/>
          <w:color w:val="000000"/>
          <w:lang w:eastAsia="en-US" w:bidi="ar-SA"/>
        </w:rPr>
      </w:pPr>
    </w:p>
    <w:p w:rsidR="00FF04B9" w:rsidRDefault="00FF04B9" w:rsidP="00FF04B9">
      <w:pPr>
        <w:spacing w:line="17" w:lineRule="atLeast"/>
        <w:jc w:val="center"/>
        <w:rPr>
          <w:rFonts w:ascii="Calibri" w:eastAsia="Times New Roman" w:hAnsi="Calibri" w:cs="Calibri"/>
          <w:color w:val="000000"/>
          <w:lang w:eastAsia="en-US" w:bidi="ar-SA"/>
        </w:rPr>
      </w:pPr>
    </w:p>
    <w:p w:rsidR="00FF04B9" w:rsidRDefault="00FF04B9" w:rsidP="00FF04B9">
      <w:pPr>
        <w:spacing w:line="17" w:lineRule="atLeast"/>
        <w:jc w:val="center"/>
        <w:rPr>
          <w:rFonts w:ascii="Calibri" w:eastAsia="Times New Roman" w:hAnsi="Calibri" w:cs="Calibri"/>
          <w:color w:val="000000"/>
          <w:lang w:eastAsia="en-US" w:bidi="ar-SA"/>
        </w:rPr>
      </w:pPr>
    </w:p>
    <w:p w:rsidR="00FF04B9" w:rsidRDefault="00FF04B9" w:rsidP="00FF04B9">
      <w:pPr>
        <w:spacing w:line="17" w:lineRule="atLeast"/>
        <w:jc w:val="center"/>
        <w:rPr>
          <w:rFonts w:ascii="Calibri" w:eastAsia="Times New Roman" w:hAnsi="Calibri" w:cs="Calibri"/>
          <w:color w:val="000000"/>
          <w:lang w:eastAsia="en-US" w:bidi="ar-SA"/>
        </w:rPr>
      </w:pPr>
    </w:p>
    <w:p w:rsidR="00FF04B9" w:rsidRPr="00FF04B9" w:rsidRDefault="00FF04B9" w:rsidP="00FF04B9">
      <w:pPr>
        <w:spacing w:line="17" w:lineRule="atLeast"/>
        <w:ind w:firstLine="1418"/>
        <w:jc w:val="both"/>
        <w:rPr>
          <w:rFonts w:ascii="Calibri" w:eastAsia="Calibri" w:hAnsi="Calibri" w:cs="Calibri"/>
          <w:color w:val="FF0000"/>
          <w:sz w:val="20"/>
          <w:szCs w:val="20"/>
          <w:lang w:bidi="en-US"/>
        </w:rPr>
      </w:pPr>
      <w:r w:rsidRPr="00FF04B9">
        <w:rPr>
          <w:rFonts w:ascii="Calibri" w:eastAsia="Times New Roman" w:hAnsi="Calibri" w:cs="Calibri"/>
          <w:color w:val="FF0000"/>
          <w:sz w:val="20"/>
          <w:szCs w:val="20"/>
          <w:lang w:eastAsia="en-US" w:bidi="ar-SA"/>
        </w:rPr>
        <w:t>Este texto não substitui o publicado no DOE</w:t>
      </w:r>
    </w:p>
    <w:p w:rsidR="007621A9" w:rsidRPr="007621A9" w:rsidRDefault="007621A9" w:rsidP="00762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autoSpaceDE w:val="0"/>
        <w:autoSpaceDN w:val="0"/>
        <w:adjustRightInd w:val="0"/>
        <w:spacing w:line="161" w:lineRule="atLeast"/>
        <w:jc w:val="both"/>
        <w:rPr>
          <w:rFonts w:ascii="Arial" w:eastAsia="Times New Roman" w:hAnsi="Arial" w:cs="Arial"/>
          <w:color w:val="000000"/>
          <w:sz w:val="16"/>
          <w:szCs w:val="16"/>
          <w:lang w:eastAsia="en-US" w:bidi="ar-SA"/>
        </w:rPr>
      </w:pPr>
      <w:r w:rsidRPr="007621A9">
        <w:rPr>
          <w:rFonts w:ascii="Arial" w:eastAsia="Times New Roman" w:hAnsi="Arial" w:cs="Arial"/>
          <w:color w:val="000000"/>
          <w:sz w:val="16"/>
          <w:szCs w:val="16"/>
          <w:lang w:eastAsia="en-US" w:bidi="ar-SA"/>
        </w:rPr>
        <w:t xml:space="preserve"> </w:t>
      </w:r>
    </w:p>
    <w:p w:rsidR="00C15C21" w:rsidRDefault="00C15C21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C15C21" w:rsidRDefault="00C15C21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C15C21" w:rsidRDefault="00C15C21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C15C21" w:rsidRDefault="00C15C21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C15C21" w:rsidRDefault="00C15C21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523BDB" w:rsidRDefault="00523BDB">
      <w:pPr>
        <w:spacing w:line="17" w:lineRule="atLeast"/>
        <w:ind w:firstLine="1417"/>
        <w:jc w:val="both"/>
        <w:rPr>
          <w:rFonts w:ascii="Calibri" w:eastAsia="Calibri" w:hAnsi="Calibri" w:cs="Calibri"/>
          <w:lang w:bidi="en-US"/>
        </w:rPr>
      </w:pPr>
    </w:p>
    <w:p w:rsidR="00C15C21" w:rsidRDefault="004C33AD">
      <w:pPr>
        <w:spacing w:after="120"/>
        <w:jc w:val="center"/>
        <w:rPr>
          <w:rFonts w:hint="eastAsia"/>
          <w:b/>
          <w:bCs/>
        </w:rPr>
      </w:pPr>
      <w:r>
        <w:rPr>
          <w:b/>
          <w:bCs/>
        </w:rPr>
        <w:lastRenderedPageBreak/>
        <w:t>ANEXO ÚNICO</w:t>
      </w:r>
    </w:p>
    <w:p w:rsidR="00523BDB" w:rsidRDefault="00523BDB">
      <w:pPr>
        <w:spacing w:after="120"/>
        <w:jc w:val="center"/>
        <w:rPr>
          <w:rFonts w:hint="eastAsia"/>
          <w:b/>
        </w:rPr>
      </w:pPr>
    </w:p>
    <w:tbl>
      <w:tblPr>
        <w:tblW w:w="98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9"/>
        <w:gridCol w:w="447"/>
        <w:gridCol w:w="1488"/>
        <w:gridCol w:w="780"/>
        <w:gridCol w:w="850"/>
        <w:gridCol w:w="316"/>
        <w:gridCol w:w="1102"/>
        <w:gridCol w:w="1133"/>
        <w:gridCol w:w="554"/>
        <w:gridCol w:w="156"/>
        <w:gridCol w:w="141"/>
        <w:gridCol w:w="378"/>
        <w:gridCol w:w="996"/>
      </w:tblGrid>
      <w:tr w:rsidR="00C15C21" w:rsidTr="00523BDB">
        <w:trPr>
          <w:trHeight w:val="551"/>
        </w:trPr>
        <w:tc>
          <w:tcPr>
            <w:tcW w:w="1499" w:type="dxa"/>
            <w:vMerge w:val="restart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lang w:eastAsia="pt-BR" w:bidi="ar-SA"/>
              </w:rPr>
              <w:drawing>
                <wp:inline distT="0" distB="0" distL="0" distR="0">
                  <wp:extent cx="720420" cy="707891"/>
                  <wp:effectExtent l="19049" t="0" r="3478" b="0"/>
                  <wp:docPr id="2" name="Imagem 0" descr="Brasão_do_Acr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20202" cy="70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gridSpan w:val="4"/>
            <w:vMerge w:val="restart"/>
            <w:noWrap/>
            <w:vAlign w:val="center"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Governo do Estado do Acre </w:t>
            </w:r>
          </w:p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Secretaria de Estado da Fazenda </w:t>
            </w:r>
          </w:p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NÚCLEO DO ITCMD/IPVA/TAXAS</w:t>
            </w:r>
          </w:p>
        </w:tc>
        <w:tc>
          <w:tcPr>
            <w:tcW w:w="3402" w:type="dxa"/>
            <w:gridSpan w:val="6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Processo administrativo nº</w:t>
            </w:r>
          </w:p>
        </w:tc>
        <w:tc>
          <w:tcPr>
            <w:tcW w:w="1374" w:type="dxa"/>
            <w:gridSpan w:val="2"/>
            <w:vMerge w:val="restart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Número</w:t>
            </w:r>
          </w:p>
        </w:tc>
      </w:tr>
      <w:tr w:rsidR="00C15C21" w:rsidTr="00523BDB">
        <w:trPr>
          <w:trHeight w:val="551"/>
        </w:trPr>
        <w:tc>
          <w:tcPr>
            <w:tcW w:w="1499" w:type="dxa"/>
            <w:vMerge/>
            <w:noWrap/>
          </w:tcPr>
          <w:p w:rsidR="00C15C21" w:rsidRDefault="00C15C21">
            <w:pPr>
              <w:rPr>
                <w:rFonts w:ascii="Century Gothic" w:hAnsi="Century Gothic"/>
                <w:lang w:eastAsia="pt-BR"/>
              </w:rPr>
            </w:pPr>
          </w:p>
        </w:tc>
        <w:tc>
          <w:tcPr>
            <w:tcW w:w="3565" w:type="dxa"/>
            <w:gridSpan w:val="4"/>
            <w:vMerge/>
            <w:noWrap/>
          </w:tcPr>
          <w:p w:rsidR="00C15C21" w:rsidRDefault="00C15C21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  <w:gridSpan w:val="6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Processo judicial nº</w:t>
            </w:r>
          </w:p>
        </w:tc>
        <w:tc>
          <w:tcPr>
            <w:tcW w:w="1374" w:type="dxa"/>
            <w:gridSpan w:val="2"/>
            <w:vMerge/>
            <w:noWrap/>
          </w:tcPr>
          <w:p w:rsidR="00C15C21" w:rsidRDefault="00C15C21">
            <w:pPr>
              <w:rPr>
                <w:rFonts w:ascii="Century Gothic" w:hAnsi="Century Gothic"/>
              </w:rPr>
            </w:pPr>
          </w:p>
        </w:tc>
      </w:tr>
      <w:tr w:rsidR="00C15C21" w:rsidTr="00523BDB">
        <w:trPr>
          <w:trHeight w:val="283"/>
        </w:trPr>
        <w:tc>
          <w:tcPr>
            <w:tcW w:w="5064" w:type="dxa"/>
            <w:gridSpan w:val="5"/>
            <w:shd w:val="clear" w:color="auto" w:fill="EEECE1" w:themeFill="background2"/>
            <w:noWrap/>
          </w:tcPr>
          <w:p w:rsidR="00C15C21" w:rsidRDefault="00C15C2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776" w:type="dxa"/>
            <w:gridSpan w:val="8"/>
            <w:shd w:val="clear" w:color="auto" w:fill="EEECE1" w:themeFill="background2"/>
            <w:noWrap/>
          </w:tcPr>
          <w:p w:rsidR="00C15C21" w:rsidRDefault="00C15C21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C15C21" w:rsidTr="00523BDB">
        <w:trPr>
          <w:trHeight w:val="283"/>
        </w:trPr>
        <w:tc>
          <w:tcPr>
            <w:tcW w:w="5064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Contribuinte:</w:t>
            </w:r>
          </w:p>
        </w:tc>
        <w:tc>
          <w:tcPr>
            <w:tcW w:w="4776" w:type="dxa"/>
            <w:gridSpan w:val="8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CPF:</w:t>
            </w:r>
          </w:p>
        </w:tc>
      </w:tr>
      <w:tr w:rsidR="00C15C21" w:rsidTr="00523BDB">
        <w:trPr>
          <w:trHeight w:val="272"/>
        </w:trPr>
        <w:tc>
          <w:tcPr>
            <w:tcW w:w="5064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Logradouro:</w:t>
            </w:r>
          </w:p>
        </w:tc>
        <w:tc>
          <w:tcPr>
            <w:tcW w:w="3105" w:type="dxa"/>
            <w:gridSpan w:val="4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Nº</w:t>
            </w:r>
          </w:p>
        </w:tc>
        <w:tc>
          <w:tcPr>
            <w:tcW w:w="1671" w:type="dxa"/>
            <w:gridSpan w:val="4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Bairro:</w:t>
            </w:r>
          </w:p>
        </w:tc>
      </w:tr>
      <w:tr w:rsidR="00C15C21" w:rsidTr="00523BDB">
        <w:trPr>
          <w:trHeight w:val="272"/>
        </w:trPr>
        <w:tc>
          <w:tcPr>
            <w:tcW w:w="5064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pt-BR"/>
              </w:rPr>
              <w:t>Transmitente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pt-BR"/>
              </w:rPr>
              <w:t>:</w:t>
            </w:r>
          </w:p>
        </w:tc>
        <w:tc>
          <w:tcPr>
            <w:tcW w:w="3105" w:type="dxa"/>
            <w:gridSpan w:val="4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CPF:</w:t>
            </w:r>
          </w:p>
        </w:tc>
        <w:tc>
          <w:tcPr>
            <w:tcW w:w="1671" w:type="dxa"/>
            <w:gridSpan w:val="4"/>
            <w:noWrap/>
          </w:tcPr>
          <w:p w:rsidR="00C15C21" w:rsidRDefault="00C15C21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C15C21" w:rsidTr="00523BDB">
        <w:trPr>
          <w:trHeight w:val="272"/>
        </w:trPr>
        <w:tc>
          <w:tcPr>
            <w:tcW w:w="5064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Inventariante/donatário:</w:t>
            </w:r>
          </w:p>
        </w:tc>
        <w:tc>
          <w:tcPr>
            <w:tcW w:w="4776" w:type="dxa"/>
            <w:gridSpan w:val="8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CPF:</w:t>
            </w:r>
          </w:p>
        </w:tc>
      </w:tr>
      <w:tr w:rsidR="00C15C21" w:rsidTr="00523BDB">
        <w:trPr>
          <w:trHeight w:val="272"/>
        </w:trPr>
        <w:tc>
          <w:tcPr>
            <w:tcW w:w="3434" w:type="dxa"/>
            <w:gridSpan w:val="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Data do Fato Gerador:</w:t>
            </w:r>
          </w:p>
        </w:tc>
        <w:tc>
          <w:tcPr>
            <w:tcW w:w="1630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Hora:</w:t>
            </w:r>
          </w:p>
        </w:tc>
        <w:tc>
          <w:tcPr>
            <w:tcW w:w="3780" w:type="dxa"/>
            <w:gridSpan w:val="7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UF:</w:t>
            </w:r>
          </w:p>
        </w:tc>
        <w:tc>
          <w:tcPr>
            <w:tcW w:w="996" w:type="dxa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Tributo</w:t>
            </w:r>
          </w:p>
        </w:tc>
      </w:tr>
      <w:tr w:rsidR="00C15C21">
        <w:trPr>
          <w:trHeight w:val="272"/>
        </w:trPr>
        <w:tc>
          <w:tcPr>
            <w:tcW w:w="9840" w:type="dxa"/>
            <w:gridSpan w:val="1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Local:</w:t>
            </w:r>
          </w:p>
        </w:tc>
      </w:tr>
      <w:tr w:rsidR="00C15C21">
        <w:trPr>
          <w:trHeight w:val="748"/>
        </w:trPr>
        <w:tc>
          <w:tcPr>
            <w:tcW w:w="9840" w:type="dxa"/>
            <w:gridSpan w:val="1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Descrição do Fato Gerador da Obrigação Tributária:</w:t>
            </w:r>
          </w:p>
        </w:tc>
      </w:tr>
      <w:tr w:rsidR="00C15C21">
        <w:trPr>
          <w:trHeight w:val="699"/>
        </w:trPr>
        <w:tc>
          <w:tcPr>
            <w:tcW w:w="9840" w:type="dxa"/>
            <w:gridSpan w:val="13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Enquadramento legal da infração:</w:t>
            </w:r>
          </w:p>
        </w:tc>
      </w:tr>
      <w:tr w:rsidR="00C15C21">
        <w:trPr>
          <w:trHeight w:val="699"/>
        </w:trPr>
        <w:tc>
          <w:tcPr>
            <w:tcW w:w="9840" w:type="dxa"/>
            <w:gridSpan w:val="13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Enquadramento legal da penalidade:</w:t>
            </w:r>
          </w:p>
        </w:tc>
      </w:tr>
      <w:tr w:rsidR="00C15C21">
        <w:trPr>
          <w:trHeight w:val="161"/>
        </w:trPr>
        <w:tc>
          <w:tcPr>
            <w:tcW w:w="9840" w:type="dxa"/>
            <w:gridSpan w:val="13"/>
            <w:shd w:val="clear" w:color="auto" w:fill="EEECE1" w:themeFill="background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Demonstração do débito fiscal:</w:t>
            </w:r>
          </w:p>
        </w:tc>
      </w:tr>
      <w:tr w:rsidR="00C15C21" w:rsidTr="00523BDB">
        <w:trPr>
          <w:trHeight w:val="594"/>
        </w:trPr>
        <w:tc>
          <w:tcPr>
            <w:tcW w:w="1946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Principal (R$):</w:t>
            </w:r>
          </w:p>
        </w:tc>
        <w:tc>
          <w:tcPr>
            <w:tcW w:w="2268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Juros moratórios (R$):</w:t>
            </w:r>
          </w:p>
        </w:tc>
        <w:tc>
          <w:tcPr>
            <w:tcW w:w="2268" w:type="dxa"/>
            <w:gridSpan w:val="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Correção monetária (R$)</w:t>
            </w:r>
          </w:p>
        </w:tc>
        <w:tc>
          <w:tcPr>
            <w:tcW w:w="1843" w:type="dxa"/>
            <w:gridSpan w:val="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Multa (R$):</w:t>
            </w:r>
          </w:p>
        </w:tc>
        <w:tc>
          <w:tcPr>
            <w:tcW w:w="1515" w:type="dxa"/>
            <w:gridSpan w:val="3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Total (R$):</w:t>
            </w:r>
          </w:p>
        </w:tc>
      </w:tr>
      <w:tr w:rsidR="00C15C21">
        <w:trPr>
          <w:trHeight w:val="844"/>
        </w:trPr>
        <w:tc>
          <w:tcPr>
            <w:tcW w:w="9840" w:type="dxa"/>
            <w:gridSpan w:val="13"/>
            <w:noWrap/>
          </w:tcPr>
          <w:p w:rsidR="00C15C21" w:rsidRDefault="004C33AD">
            <w:pPr>
              <w:spacing w:line="17" w:lineRule="atLeast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Fica o sujeito passivo notificado a recolher, parcelar ou impugnar no prazo máximo de 30 (trinta) dias, contados da ciência do lançamento do crédito tributário, nos termos do art. 19, V c/c art. 27 do Decreto nº 462/87. Os valores não recolhidos e não impugnados serão considerados incontroversos e torna</w:t>
            </w:r>
            <w:r w:rsidR="00EC088D">
              <w:rPr>
                <w:rFonts w:ascii="Calibri" w:eastAsia="Calibri" w:hAnsi="Calibri" w:cs="Calibri"/>
                <w:sz w:val="20"/>
                <w:lang w:eastAsia="pt-BR"/>
              </w:rPr>
              <w:t>r</w:t>
            </w:r>
            <w:r>
              <w:rPr>
                <w:rFonts w:ascii="Calibri" w:eastAsia="Calibri" w:hAnsi="Calibri" w:cs="Calibri"/>
                <w:sz w:val="20"/>
                <w:lang w:eastAsia="pt-BR"/>
              </w:rPr>
              <w:t>-se-ão aptos para inscrição em dívida ativa. O montante tributável poderá ser reduzido nos termos e prazos previstos no art. 28, da Lei Complementar nº</w:t>
            </w:r>
            <w:proofErr w:type="gramStart"/>
            <w:r>
              <w:rPr>
                <w:rFonts w:ascii="Calibri" w:eastAsia="Calibri" w:hAnsi="Calibri" w:cs="Calibri"/>
                <w:sz w:val="2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0"/>
                <w:lang w:eastAsia="pt-BR"/>
              </w:rPr>
              <w:t>271/13.</w:t>
            </w:r>
          </w:p>
        </w:tc>
      </w:tr>
      <w:tr w:rsidR="00C15C21" w:rsidTr="00523BDB">
        <w:trPr>
          <w:trHeight w:val="398"/>
        </w:trPr>
        <w:tc>
          <w:tcPr>
            <w:tcW w:w="5380" w:type="dxa"/>
            <w:gridSpan w:val="6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Auditor da Receita Estadual:</w:t>
            </w:r>
          </w:p>
        </w:tc>
        <w:tc>
          <w:tcPr>
            <w:tcW w:w="2235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Matrícula:</w:t>
            </w:r>
          </w:p>
        </w:tc>
        <w:tc>
          <w:tcPr>
            <w:tcW w:w="2225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Assinatura:</w:t>
            </w:r>
          </w:p>
        </w:tc>
      </w:tr>
      <w:tr w:rsidR="00C15C21" w:rsidTr="00523BDB">
        <w:trPr>
          <w:trHeight w:val="398"/>
        </w:trPr>
        <w:tc>
          <w:tcPr>
            <w:tcW w:w="5380" w:type="dxa"/>
            <w:gridSpan w:val="6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Auditor da Receita Estadual:</w:t>
            </w:r>
          </w:p>
        </w:tc>
        <w:tc>
          <w:tcPr>
            <w:tcW w:w="2235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Matrícula:</w:t>
            </w:r>
          </w:p>
        </w:tc>
        <w:tc>
          <w:tcPr>
            <w:tcW w:w="2225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Assinatura:</w:t>
            </w:r>
          </w:p>
        </w:tc>
      </w:tr>
      <w:tr w:rsidR="00C15C21" w:rsidTr="00523BDB">
        <w:trPr>
          <w:trHeight w:val="398"/>
        </w:trPr>
        <w:tc>
          <w:tcPr>
            <w:tcW w:w="5380" w:type="dxa"/>
            <w:gridSpan w:val="6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Auditor da Receita Estadual:</w:t>
            </w:r>
          </w:p>
        </w:tc>
        <w:tc>
          <w:tcPr>
            <w:tcW w:w="2235" w:type="dxa"/>
            <w:gridSpan w:val="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Matrícula:</w:t>
            </w:r>
          </w:p>
        </w:tc>
        <w:tc>
          <w:tcPr>
            <w:tcW w:w="2225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Assinatura:</w:t>
            </w:r>
          </w:p>
        </w:tc>
      </w:tr>
      <w:tr w:rsidR="00C15C21">
        <w:trPr>
          <w:trHeight w:val="398"/>
        </w:trPr>
        <w:tc>
          <w:tcPr>
            <w:tcW w:w="9840" w:type="dxa"/>
            <w:gridSpan w:val="13"/>
            <w:shd w:val="clear" w:color="auto" w:fill="EEECE1" w:themeFill="background2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pt-BR"/>
              </w:rPr>
              <w:t>Assinatura do Sujeito Passivo ou representante legal:</w:t>
            </w:r>
          </w:p>
        </w:tc>
      </w:tr>
      <w:tr w:rsidR="00C15C21" w:rsidTr="00523BDB">
        <w:trPr>
          <w:trHeight w:val="169"/>
        </w:trPr>
        <w:tc>
          <w:tcPr>
            <w:tcW w:w="5380" w:type="dxa"/>
            <w:gridSpan w:val="6"/>
            <w:vMerge w:val="restart"/>
            <w:noWrap/>
          </w:tcPr>
          <w:p w:rsidR="00C15C21" w:rsidRDefault="00C15C21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235" w:type="dxa"/>
            <w:gridSpan w:val="2"/>
            <w:vMerge w:val="restart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Data da ciência:</w:t>
            </w:r>
          </w:p>
        </w:tc>
        <w:tc>
          <w:tcPr>
            <w:tcW w:w="2225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CPF:</w:t>
            </w:r>
          </w:p>
        </w:tc>
      </w:tr>
      <w:tr w:rsidR="00C15C21" w:rsidTr="00523BDB">
        <w:trPr>
          <w:trHeight w:val="169"/>
        </w:trPr>
        <w:tc>
          <w:tcPr>
            <w:tcW w:w="5380" w:type="dxa"/>
            <w:gridSpan w:val="6"/>
            <w:vMerge/>
            <w:noWrap/>
          </w:tcPr>
          <w:p w:rsidR="00C15C21" w:rsidRDefault="00C15C21">
            <w:pPr>
              <w:spacing w:line="360" w:lineRule="auto"/>
              <w:jc w:val="both"/>
              <w:rPr>
                <w:rFonts w:ascii="Century Gothic" w:hAnsi="Century Gothic"/>
                <w:lang w:eastAsia="pt-BR"/>
              </w:rPr>
            </w:pPr>
          </w:p>
        </w:tc>
        <w:tc>
          <w:tcPr>
            <w:tcW w:w="2235" w:type="dxa"/>
            <w:gridSpan w:val="2"/>
            <w:vMerge/>
            <w:noWrap/>
          </w:tcPr>
          <w:p w:rsidR="00C15C21" w:rsidRDefault="00C15C21">
            <w:pPr>
              <w:spacing w:line="360" w:lineRule="auto"/>
              <w:jc w:val="both"/>
              <w:rPr>
                <w:rFonts w:ascii="Century Gothic" w:hAnsi="Century Gothic"/>
                <w:lang w:eastAsia="pt-BR"/>
              </w:rPr>
            </w:pPr>
          </w:p>
        </w:tc>
        <w:tc>
          <w:tcPr>
            <w:tcW w:w="2225" w:type="dxa"/>
            <w:gridSpan w:val="5"/>
            <w:noWrap/>
          </w:tcPr>
          <w:p w:rsidR="00C15C21" w:rsidRDefault="004C33AD">
            <w:pPr>
              <w:spacing w:line="36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  <w:lang w:eastAsia="pt-BR"/>
              </w:rPr>
              <w:t>RG:</w:t>
            </w:r>
          </w:p>
        </w:tc>
      </w:tr>
    </w:tbl>
    <w:p w:rsidR="00C15C21" w:rsidRDefault="00C15C21">
      <w:pPr>
        <w:spacing w:after="120"/>
        <w:jc w:val="center"/>
        <w:rPr>
          <w:rFonts w:hint="eastAsia"/>
          <w:b/>
        </w:rPr>
      </w:pPr>
    </w:p>
    <w:p w:rsidR="00C15C21" w:rsidRDefault="00C15C21">
      <w:pPr>
        <w:spacing w:after="120"/>
        <w:jc w:val="center"/>
        <w:rPr>
          <w:rFonts w:hint="eastAsia"/>
          <w:b/>
        </w:rPr>
      </w:pPr>
    </w:p>
    <w:p w:rsidR="00C15C21" w:rsidRDefault="00C15C21">
      <w:pPr>
        <w:spacing w:after="120"/>
        <w:jc w:val="center"/>
        <w:rPr>
          <w:rFonts w:hint="eastAsia"/>
          <w:b/>
        </w:rPr>
      </w:pPr>
    </w:p>
    <w:tbl>
      <w:tblPr>
        <w:tblW w:w="972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1"/>
        <w:gridCol w:w="3614"/>
        <w:gridCol w:w="3402"/>
        <w:gridCol w:w="1191"/>
        <w:gridCol w:w="12"/>
      </w:tblGrid>
      <w:tr w:rsidR="00C15C21">
        <w:trPr>
          <w:trHeight w:val="551"/>
        </w:trPr>
        <w:tc>
          <w:tcPr>
            <w:tcW w:w="1501" w:type="dxa"/>
            <w:vMerge w:val="restart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lang w:eastAsia="pt-BR" w:bidi="ar-SA"/>
              </w:rPr>
              <w:lastRenderedPageBreak/>
              <w:drawing>
                <wp:inline distT="0" distB="0" distL="0" distR="0">
                  <wp:extent cx="720420" cy="707891"/>
                  <wp:effectExtent l="19049" t="0" r="3478" b="0"/>
                  <wp:docPr id="3" name="Imagem 0" descr="Brasão_do_Acr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20202" cy="70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vMerge w:val="restart"/>
            <w:noWrap/>
            <w:vAlign w:val="center"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Governo do Estado do Acre </w:t>
            </w:r>
          </w:p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Secretaria de Estado da Fazenda </w:t>
            </w:r>
          </w:p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NÚCLEO DO ITCMD/IPVA/TAXAS</w:t>
            </w:r>
          </w:p>
        </w:tc>
        <w:tc>
          <w:tcPr>
            <w:tcW w:w="3402" w:type="dxa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Processo administrativo nº</w:t>
            </w:r>
          </w:p>
        </w:tc>
        <w:tc>
          <w:tcPr>
            <w:tcW w:w="1203" w:type="dxa"/>
            <w:gridSpan w:val="2"/>
            <w:vMerge w:val="restart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Número</w:t>
            </w:r>
          </w:p>
        </w:tc>
      </w:tr>
      <w:tr w:rsidR="00C15C21">
        <w:trPr>
          <w:trHeight w:val="551"/>
        </w:trPr>
        <w:tc>
          <w:tcPr>
            <w:tcW w:w="1501" w:type="dxa"/>
            <w:vMerge/>
            <w:noWrap/>
          </w:tcPr>
          <w:p w:rsidR="00C15C21" w:rsidRDefault="00C15C21">
            <w:pPr>
              <w:rPr>
                <w:rFonts w:ascii="Century Gothic" w:hAnsi="Century Gothic"/>
                <w:lang w:eastAsia="pt-BR"/>
              </w:rPr>
            </w:pPr>
          </w:p>
        </w:tc>
        <w:tc>
          <w:tcPr>
            <w:tcW w:w="3614" w:type="dxa"/>
            <w:vMerge/>
            <w:noWrap/>
          </w:tcPr>
          <w:p w:rsidR="00C15C21" w:rsidRDefault="00C15C21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  <w:noWrap/>
          </w:tcPr>
          <w:p w:rsidR="00C15C21" w:rsidRDefault="004C33AD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Processo judicial nº</w:t>
            </w:r>
          </w:p>
        </w:tc>
        <w:tc>
          <w:tcPr>
            <w:tcW w:w="1203" w:type="dxa"/>
            <w:gridSpan w:val="2"/>
            <w:vMerge/>
            <w:noWrap/>
          </w:tcPr>
          <w:p w:rsidR="00C15C21" w:rsidRDefault="00C15C21">
            <w:pPr>
              <w:rPr>
                <w:rFonts w:ascii="Century Gothic" w:hAnsi="Century Gothic"/>
              </w:rPr>
            </w:pPr>
          </w:p>
        </w:tc>
      </w:tr>
      <w:tr w:rsidR="00C15C21">
        <w:trPr>
          <w:gridAfter w:val="1"/>
          <w:wAfter w:w="12" w:type="dxa"/>
          <w:trHeight w:val="283"/>
        </w:trPr>
        <w:tc>
          <w:tcPr>
            <w:tcW w:w="9708" w:type="dxa"/>
            <w:gridSpan w:val="4"/>
            <w:shd w:val="clear" w:color="auto" w:fill="EEECE1" w:themeFill="background2"/>
            <w:noWrap/>
            <w:vAlign w:val="center"/>
          </w:tcPr>
          <w:p w:rsidR="00C15C21" w:rsidRDefault="004C33AD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TERMO CIRCUNSTANCIADO</w:t>
            </w:r>
          </w:p>
        </w:tc>
      </w:tr>
      <w:tr w:rsidR="00C15C21">
        <w:trPr>
          <w:gridAfter w:val="1"/>
          <w:wAfter w:w="12" w:type="dxa"/>
          <w:trHeight w:val="9940"/>
        </w:trPr>
        <w:tc>
          <w:tcPr>
            <w:tcW w:w="9708" w:type="dxa"/>
            <w:gridSpan w:val="4"/>
            <w:noWrap/>
          </w:tcPr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C15C21" w:rsidRDefault="00C15C21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C15C21" w:rsidRDefault="00C15C21">
      <w:pPr>
        <w:spacing w:after="120"/>
        <w:jc w:val="center"/>
        <w:rPr>
          <w:rFonts w:hint="eastAsia"/>
        </w:rPr>
      </w:pPr>
    </w:p>
    <w:sectPr w:rsidR="00C15C21" w:rsidSect="00C15C21">
      <w:headerReference w:type="default" r:id="rId8"/>
      <w:pgSz w:w="11906" w:h="16838"/>
      <w:pgMar w:top="262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281" w:rsidRDefault="00384281" w:rsidP="00C15C21">
      <w:pPr>
        <w:rPr>
          <w:rFonts w:hint="eastAsia"/>
        </w:rPr>
      </w:pPr>
      <w:r>
        <w:separator/>
      </w:r>
    </w:p>
  </w:endnote>
  <w:endnote w:type="continuationSeparator" w:id="1">
    <w:p w:rsidR="00384281" w:rsidRDefault="00384281" w:rsidP="00C15C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281" w:rsidRDefault="00384281">
      <w:pPr>
        <w:rPr>
          <w:rFonts w:hint="eastAsia"/>
        </w:rPr>
      </w:pPr>
      <w:r>
        <w:separator/>
      </w:r>
    </w:p>
  </w:footnote>
  <w:footnote w:type="continuationSeparator" w:id="1">
    <w:p w:rsidR="00384281" w:rsidRDefault="003842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21" w:rsidRDefault="00C15C21">
    <w:pPr>
      <w:pStyle w:val="Header0"/>
      <w:jc w:val="center"/>
      <w:rPr>
        <w:rFonts w:ascii="Calibri" w:hAnsi="Calibri"/>
        <w:b/>
        <w:color w:val="000000"/>
      </w:rPr>
    </w:pPr>
    <w:r>
      <w:object w:dxaOrig="526" w:dyaOrig="518">
        <v:rect id="_x0000_i0" o:spid="_x0000_i1025" style="width:46.35pt;height:45.7pt;mso-wrap-distance-left:0;mso-wrap-distance-top:0;mso-wrap-distance-right:0;mso-wrap-distance-bottom:0" o:ole="" filled="f" stroked="f">
          <v:imagedata r:id="rId1" o:title=""/>
        </v:rect>
        <o:OLEObject Type="Embed" ProgID="Word.Document.8" ShapeID="_x0000_i0" DrawAspect="Content" ObjectID="_1635062825" r:id="rId2"/>
      </w:object>
    </w:r>
  </w:p>
  <w:p w:rsidR="00C15C21" w:rsidRDefault="004C33AD" w:rsidP="00523BDB">
    <w:pPr>
      <w:jc w:val="center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ESTADO DO ACRE</w:t>
    </w:r>
  </w:p>
  <w:p w:rsidR="00C15C21" w:rsidRDefault="004C33AD" w:rsidP="00523BDB">
    <w:pPr>
      <w:jc w:val="center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SECRETARIA DE ESTADO DA FAZENDA</w:t>
    </w:r>
  </w:p>
  <w:p w:rsidR="00523BDB" w:rsidRDefault="00523BDB" w:rsidP="00523BDB">
    <w:pPr>
      <w:jc w:val="cen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817A8"/>
    <w:multiLevelType w:val="hybridMultilevel"/>
    <w:tmpl w:val="C3BE098C"/>
    <w:lvl w:ilvl="0" w:tplc="ADFAC21A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EBAA6B9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866E8E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2FC74E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0EA290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4702766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78805EB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5AEA6C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44660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15C21"/>
    <w:rsid w:val="002C6858"/>
    <w:rsid w:val="00384281"/>
    <w:rsid w:val="00491A78"/>
    <w:rsid w:val="004C33AD"/>
    <w:rsid w:val="00523BDB"/>
    <w:rsid w:val="0063396C"/>
    <w:rsid w:val="007621A9"/>
    <w:rsid w:val="009114A6"/>
    <w:rsid w:val="00AA11A8"/>
    <w:rsid w:val="00B86DC4"/>
    <w:rsid w:val="00C15C21"/>
    <w:rsid w:val="00EC088D"/>
    <w:rsid w:val="00F24D74"/>
    <w:rsid w:val="00FF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5C21"/>
    <w:rPr>
      <w:rFonts w:ascii="Liberation Serif" w:eastAsia="SimSun" w:hAnsi="Liberation Serif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C15C21"/>
    <w:rPr>
      <w:sz w:val="48"/>
      <w:szCs w:val="48"/>
    </w:rPr>
  </w:style>
  <w:style w:type="character" w:customStyle="1" w:styleId="SubtitleChar">
    <w:name w:val="Subtitle Char"/>
    <w:basedOn w:val="Fontepargpadro"/>
    <w:link w:val="Subttulo"/>
    <w:uiPriority w:val="11"/>
    <w:rsid w:val="00C15C21"/>
    <w:rPr>
      <w:sz w:val="24"/>
      <w:szCs w:val="24"/>
    </w:rPr>
  </w:style>
  <w:style w:type="character" w:customStyle="1" w:styleId="QuoteChar">
    <w:name w:val="Quote Char"/>
    <w:link w:val="Citao"/>
    <w:uiPriority w:val="29"/>
    <w:rsid w:val="00C15C21"/>
    <w:rPr>
      <w:i/>
    </w:rPr>
  </w:style>
  <w:style w:type="character" w:customStyle="1" w:styleId="IntenseQuoteChar">
    <w:name w:val="Intense Quote Char"/>
    <w:link w:val="CitaoIntensa"/>
    <w:uiPriority w:val="30"/>
    <w:rsid w:val="00C15C21"/>
    <w:rPr>
      <w:i/>
    </w:rPr>
  </w:style>
  <w:style w:type="character" w:customStyle="1" w:styleId="FootnoteTextChar">
    <w:name w:val="Footnote Text Char"/>
    <w:link w:val="Textodenotaderodap"/>
    <w:uiPriority w:val="99"/>
    <w:rsid w:val="00C15C21"/>
    <w:rPr>
      <w:sz w:val="18"/>
    </w:rPr>
  </w:style>
  <w:style w:type="paragraph" w:customStyle="1" w:styleId="Heading1">
    <w:name w:val="Heading 1"/>
    <w:basedOn w:val="Normal"/>
    <w:next w:val="Normal"/>
    <w:rsid w:val="00C15C21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10">
    <w:name w:val="Heading 1"/>
    <w:basedOn w:val="Normal"/>
    <w:next w:val="Normal"/>
    <w:link w:val="Heading1Char"/>
    <w:uiPriority w:val="9"/>
    <w:qFormat/>
    <w:rsid w:val="00C15C2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C15C2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C15C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15C21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C15C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15C2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C15C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15C2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C15C2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15C2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C15C2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15C2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C15C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15C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C15C2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15C2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C15C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15C21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C15C21"/>
    <w:pPr>
      <w:ind w:left="720"/>
      <w:contextualSpacing/>
    </w:pPr>
  </w:style>
  <w:style w:type="paragraph" w:styleId="SemEspaamento">
    <w:name w:val="No Spacing"/>
    <w:uiPriority w:val="1"/>
    <w:qFormat/>
    <w:rsid w:val="00C15C21"/>
  </w:style>
  <w:style w:type="paragraph" w:styleId="Ttulo">
    <w:name w:val="Title"/>
    <w:basedOn w:val="Normal"/>
    <w:next w:val="Normal"/>
    <w:link w:val="TtuloChar"/>
    <w:uiPriority w:val="10"/>
    <w:qFormat/>
    <w:rsid w:val="00C15C21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sid w:val="00C15C21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5C21"/>
    <w:pPr>
      <w:spacing w:before="200" w:after="200"/>
    </w:pPr>
  </w:style>
  <w:style w:type="character" w:customStyle="1" w:styleId="SubttuloChar">
    <w:name w:val="Subtítulo Char"/>
    <w:link w:val="Subttulo"/>
    <w:uiPriority w:val="11"/>
    <w:rsid w:val="00C15C2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15C21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C15C21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5C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C15C21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C15C2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15C21"/>
  </w:style>
  <w:style w:type="paragraph" w:customStyle="1" w:styleId="Footer">
    <w:name w:val="Footer"/>
    <w:basedOn w:val="Normal"/>
    <w:link w:val="FooterChar"/>
    <w:uiPriority w:val="99"/>
    <w:unhideWhenUsed/>
    <w:rsid w:val="00C15C2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15C21"/>
  </w:style>
  <w:style w:type="table" w:styleId="Tabelacomgrade">
    <w:name w:val="Table Grid"/>
    <w:uiPriority w:val="59"/>
    <w:rsid w:val="00C15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C15C21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C15C21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C15C2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C21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C15C21"/>
    <w:rPr>
      <w:sz w:val="18"/>
    </w:rPr>
  </w:style>
  <w:style w:type="character" w:styleId="Refdenotaderodap">
    <w:name w:val="footnote reference"/>
    <w:uiPriority w:val="99"/>
    <w:unhideWhenUsed/>
    <w:rsid w:val="00C15C21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C15C21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C15C2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C15C2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C15C2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C15C2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C15C2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C15C2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C15C2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C15C21"/>
    <w:pPr>
      <w:spacing w:after="57"/>
      <w:ind w:left="2268"/>
    </w:pPr>
  </w:style>
  <w:style w:type="paragraph" w:styleId="CabealhodoSumrio">
    <w:name w:val="TOC Heading"/>
    <w:uiPriority w:val="39"/>
    <w:unhideWhenUsed/>
    <w:rsid w:val="00C15C21"/>
  </w:style>
  <w:style w:type="paragraph" w:customStyle="1" w:styleId="Ttulo1">
    <w:name w:val="Título1"/>
    <w:basedOn w:val="Normal"/>
    <w:next w:val="Corpodetexto"/>
    <w:rsid w:val="00C15C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C15C21"/>
    <w:pPr>
      <w:spacing w:after="140" w:line="288" w:lineRule="auto"/>
    </w:pPr>
  </w:style>
  <w:style w:type="paragraph" w:styleId="Lista">
    <w:name w:val="List"/>
    <w:basedOn w:val="Corpodetexto"/>
    <w:rsid w:val="00C15C21"/>
  </w:style>
  <w:style w:type="paragraph" w:styleId="Legenda">
    <w:name w:val="caption"/>
    <w:basedOn w:val="Normal"/>
    <w:rsid w:val="00C15C21"/>
    <w:pPr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15C21"/>
  </w:style>
  <w:style w:type="paragraph" w:customStyle="1" w:styleId="a5-1textoacordo">
    <w:name w:val="a5-1textoacordo"/>
    <w:basedOn w:val="Normal"/>
    <w:rsid w:val="00C15C21"/>
    <w:pPr>
      <w:spacing w:before="280" w:after="280"/>
    </w:pPr>
    <w:rPr>
      <w:rFonts w:ascii="Times New Roman" w:eastAsia="Times New Roman" w:hAnsi="Times New Roman"/>
      <w:lang w:eastAsia="pt-BR"/>
    </w:rPr>
  </w:style>
  <w:style w:type="paragraph" w:customStyle="1" w:styleId="Header0">
    <w:name w:val="Header"/>
    <w:basedOn w:val="Normal"/>
    <w:rsid w:val="00C15C2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15C21"/>
    <w:pPr>
      <w:spacing w:before="280" w:after="280"/>
    </w:pPr>
    <w:rPr>
      <w:rFonts w:ascii="Times New Roman" w:eastAsia="Times New Roman" w:hAnsi="Times New Roman"/>
    </w:rPr>
  </w:style>
  <w:style w:type="paragraph" w:customStyle="1" w:styleId="Pa8">
    <w:name w:val="Pa8"/>
    <w:basedOn w:val="Normal"/>
    <w:next w:val="Normal"/>
    <w:uiPriority w:val="99"/>
    <w:rsid w:val="00C15C21"/>
    <w:pPr>
      <w:spacing w:line="161" w:lineRule="atLeast"/>
    </w:pPr>
    <w:rPr>
      <w:rFonts w:ascii="Arial" w:eastAsia="Calibri" w:hAnsi="Arial"/>
      <w:color w:val="000000"/>
    </w:rPr>
  </w:style>
  <w:style w:type="paragraph" w:customStyle="1" w:styleId="Contedodatabela">
    <w:name w:val="Conteúdo da tabela"/>
    <w:basedOn w:val="Normal"/>
    <w:rsid w:val="00C15C21"/>
    <w:pPr>
      <w:widowControl w:val="0"/>
    </w:pPr>
    <w:rPr>
      <w:rFonts w:ascii="Times New Roman" w:eastAsia="Lucida Sans Unicode" w:hAnsi="Times New Roman"/>
      <w:color w:val="000000"/>
    </w:rPr>
  </w:style>
  <w:style w:type="paragraph" w:customStyle="1" w:styleId="Footer0">
    <w:name w:val="Footer"/>
    <w:basedOn w:val="Normal"/>
    <w:link w:val="RodapChar"/>
    <w:semiHidden/>
    <w:rsid w:val="00C15C2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Footer0"/>
    <w:semiHidden/>
    <w:rsid w:val="00C15C21"/>
    <w:rPr>
      <w:rFonts w:ascii="Liberation Serif" w:eastAsia="SimSun" w:hAnsi="Liberation Serif"/>
      <w:sz w:val="24"/>
      <w:szCs w:val="21"/>
      <w:lang w:eastAsia="zh-CN" w:bidi="hi-IN"/>
    </w:rPr>
  </w:style>
  <w:style w:type="paragraph" w:customStyle="1" w:styleId="Corpodotexto">
    <w:name w:val="Corpo do texto"/>
    <w:rsid w:val="00C15C21"/>
    <w:pPr>
      <w:spacing w:after="140" w:line="288" w:lineRule="auto"/>
    </w:pPr>
    <w:rPr>
      <w:rFonts w:ascii="Calibri" w:eastAsia="Calibri" w:hAnsi="Calibri"/>
      <w:color w:val="00000A"/>
      <w:sz w:val="22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C2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21"/>
    <w:rPr>
      <w:rFonts w:ascii="Tahoma" w:eastAsia="SimSun" w:hAnsi="Tahoma" w:cs="Mangal"/>
      <w:sz w:val="16"/>
      <w:szCs w:val="14"/>
      <w:shd w:val="nil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523BD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23BDB"/>
    <w:rPr>
      <w:rFonts w:ascii="Liberation Serif" w:eastAsia="SimSun" w:hAnsi="Liberation Serif" w:cs="Mangal"/>
      <w:sz w:val="24"/>
      <w:szCs w:val="21"/>
      <w:shd w:val="nil"/>
      <w:lang w:eastAsia="zh-CN" w:bidi="hi-IN"/>
    </w:rPr>
  </w:style>
  <w:style w:type="paragraph" w:styleId="Rodap">
    <w:name w:val="footer"/>
    <w:basedOn w:val="Normal"/>
    <w:link w:val="RodapChar1"/>
    <w:uiPriority w:val="99"/>
    <w:semiHidden/>
    <w:unhideWhenUsed/>
    <w:rsid w:val="00523BD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523BDB"/>
    <w:rPr>
      <w:rFonts w:ascii="Liberation Serif" w:eastAsia="SimSun" w:hAnsi="Liberation Serif" w:cs="Mangal"/>
      <w:sz w:val="24"/>
      <w:szCs w:val="21"/>
      <w:shd w:val="ni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o_Microsoft_Office_Word_97_-_20031.doc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silvia.elena</dc:creator>
  <cp:lastModifiedBy>silvia.elena</cp:lastModifiedBy>
  <cp:revision>3</cp:revision>
  <dcterms:created xsi:type="dcterms:W3CDTF">2019-11-12T15:16:00Z</dcterms:created>
  <dcterms:modified xsi:type="dcterms:W3CDTF">2019-11-12T16:21:00Z</dcterms:modified>
</cp:coreProperties>
</file>